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A2" w:rsidRDefault="000D4CA2" w:rsidP="000D4CA2">
      <w:pPr>
        <w:spacing w:line="550" w:lineRule="exact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cs="黑体" w:hint="eastAsia"/>
          <w:kern w:val="0"/>
          <w:sz w:val="32"/>
          <w:szCs w:val="32"/>
        </w:rPr>
        <w:t xml:space="preserve">3 </w:t>
      </w:r>
    </w:p>
    <w:p w:rsidR="000D4CA2" w:rsidRDefault="000D4CA2" w:rsidP="000D4CA2">
      <w:pPr>
        <w:spacing w:line="550" w:lineRule="exact"/>
        <w:jc w:val="center"/>
        <w:rPr>
          <w:rFonts w:ascii="黑体" w:eastAsia="黑体" w:cs="黑体"/>
          <w:kern w:val="0"/>
          <w:sz w:val="32"/>
          <w:szCs w:val="32"/>
        </w:rPr>
      </w:pPr>
    </w:p>
    <w:p w:rsidR="000D4CA2" w:rsidRDefault="000D4CA2" w:rsidP="000D4CA2">
      <w:pPr>
        <w:spacing w:line="360" w:lineRule="auto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细分行业龙头企业认定指标项目说明</w:t>
      </w:r>
    </w:p>
    <w:p w:rsidR="000D4CA2" w:rsidRDefault="000D4CA2" w:rsidP="000D4CA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D4CA2" w:rsidRDefault="000D4CA2" w:rsidP="000D4CA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1.市场占有率：指某一时间、某一企业的产品(或某一种产品)，在同类产品市场销售中占的比例或百分比，是反映企业作为细分行业龙头的重要指标，权重为70%。</w:t>
      </w:r>
    </w:p>
    <w:p w:rsidR="000D4CA2" w:rsidRDefault="000D4CA2" w:rsidP="000D4CA2">
      <w:pPr>
        <w:autoSpaceDE w:val="0"/>
        <w:autoSpaceDN w:val="0"/>
        <w:adjustRightIn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2.技术创新水平：指生产技术的创新，包括开发新技术，或将已有的技术进行</w:t>
      </w:r>
      <w:hyperlink r:id="rId6" w:tgtFrame="http://baike.sogou.com/_blank" w:history="1">
        <w:r>
          <w:rPr>
            <w:rFonts w:ascii="仿宋_GB2312" w:eastAsia="仿宋_GB2312"/>
            <w:sz w:val="32"/>
            <w:szCs w:val="32"/>
          </w:rPr>
          <w:t>应用创新</w:t>
        </w:r>
      </w:hyperlink>
      <w:r>
        <w:rPr>
          <w:rFonts w:ascii="仿宋_GB2312" w:eastAsia="仿宋_GB2312" w:hint="eastAsia"/>
          <w:sz w:val="32"/>
          <w:szCs w:val="32"/>
        </w:rPr>
        <w:t>，是鼓励传统制造业落实“创新驱动”这一核心战略，通过科技创新提质升级的重要手段，权重为15%。</w:t>
      </w:r>
    </w:p>
    <w:p w:rsidR="000D4CA2" w:rsidRDefault="000D4CA2" w:rsidP="000D4CA2">
      <w:pPr>
        <w:autoSpaceDE w:val="0"/>
        <w:autoSpaceDN w:val="0"/>
        <w:adjustRightIn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3.产品质量水平：是体现市委、市政府“以质取胜”战略，落实供给侧结构性改革的重要指标，也是市场竞争中防止“劣币驱逐良币”的有效方法，权重为15%。</w:t>
      </w:r>
    </w:p>
    <w:p w:rsidR="00BC6D5E" w:rsidRPr="000D4CA2" w:rsidRDefault="00BC6D5E"/>
    <w:sectPr w:rsidR="00BC6D5E" w:rsidRPr="000D4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D5E" w:rsidRDefault="00BC6D5E" w:rsidP="000D4CA2">
      <w:r>
        <w:separator/>
      </w:r>
    </w:p>
  </w:endnote>
  <w:endnote w:type="continuationSeparator" w:id="1">
    <w:p w:rsidR="00BC6D5E" w:rsidRDefault="00BC6D5E" w:rsidP="000D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D5E" w:rsidRDefault="00BC6D5E" w:rsidP="000D4CA2">
      <w:r>
        <w:separator/>
      </w:r>
    </w:p>
  </w:footnote>
  <w:footnote w:type="continuationSeparator" w:id="1">
    <w:p w:rsidR="00BC6D5E" w:rsidRDefault="00BC6D5E" w:rsidP="000D4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CA2"/>
    <w:rsid w:val="000D4CA2"/>
    <w:rsid w:val="00BC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C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C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gou.com/lemma/ShowInnerLink.htm?lemmaId=57687811&amp;ss_c=ssc.citiao.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MS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2019-09-09T08:16:00Z</dcterms:created>
  <dcterms:modified xsi:type="dcterms:W3CDTF">2019-09-09T08:17:00Z</dcterms:modified>
</cp:coreProperties>
</file>